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44"/>
          <w:szCs w:val="44"/>
          <w:highlight w:val="none"/>
          <w:lang w:eastAsia="zh-CN"/>
        </w:rPr>
      </w:pPr>
      <w:r>
        <w:rPr>
          <w:rFonts w:hint="eastAsia"/>
          <w:b/>
          <w:bCs/>
          <w:sz w:val="44"/>
          <w:szCs w:val="44"/>
          <w:highlight w:val="none"/>
          <w:lang w:eastAsia="zh-CN"/>
        </w:rPr>
        <w:t>关于上报疫情后学生学业修复方案的通知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36"/>
          <w:szCs w:val="36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各学院：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三年疫情对学生学业造成了一定影响，为助力学生专业核心能力达成，学校决定开展疫情后学生学业修复工作。根据《三明学院疫情后学业修复工作指导意见》（附件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）要求，请各学院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秉承立德树人，扎根地方，以生为本的办学宗旨，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根据学生所在年级和学科专业特点，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分类分年级设计、加强组织，调动专业带头人和系主任的积极性，群策群力，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制定《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***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学院学生学业修复实施方案》，填写《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***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学院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拟开设学业修复课程情况表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》（附件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,4月7日前将上述两份材料上报教务处教务科备案，并于每学期期末放假前上报当学期学生学业修复情况总结。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80" w:firstLineChars="19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教务处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0" w:firstLineChars="17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2023年3月31日</w:t>
      </w:r>
    </w:p>
    <w:p>
      <w:pPr>
        <w:widowControl w:val="0"/>
        <w:wordWrap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36"/>
          <w:szCs w:val="36"/>
          <w:highlight w:val="none"/>
          <w:lang w:eastAsia="zh-CN"/>
        </w:rPr>
      </w:pPr>
    </w:p>
    <w:p>
      <w:pPr>
        <w:widowControl w:val="0"/>
        <w:wordWrap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36"/>
          <w:szCs w:val="36"/>
          <w:highlight w:val="none"/>
          <w:lang w:eastAsia="zh-CN"/>
        </w:rPr>
      </w:pPr>
    </w:p>
    <w:p>
      <w:pPr>
        <w:widowControl w:val="0"/>
        <w:wordWrap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36"/>
          <w:szCs w:val="36"/>
          <w:highlight w:val="none"/>
          <w:lang w:eastAsia="zh-CN"/>
        </w:rPr>
      </w:pPr>
    </w:p>
    <w:p>
      <w:pPr>
        <w:widowControl w:val="0"/>
        <w:wordWrap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36"/>
          <w:szCs w:val="36"/>
          <w:highlight w:val="none"/>
          <w:lang w:eastAsia="zh-CN"/>
        </w:rPr>
      </w:pPr>
    </w:p>
    <w:p>
      <w:pPr>
        <w:widowControl w:val="0"/>
        <w:wordWrap/>
        <w:adjustRightInd/>
        <w:snapToGrid/>
        <w:spacing w:line="520" w:lineRule="exact"/>
        <w:jc w:val="both"/>
        <w:textAlignment w:val="auto"/>
        <w:rPr>
          <w:rFonts w:hint="eastAsia" w:eastAsia="宋体"/>
          <w:b/>
          <w:bCs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highlight w:val="none"/>
          <w:lang w:eastAsia="zh-CN"/>
        </w:rPr>
        <w:t>附件</w:t>
      </w:r>
      <w:r>
        <w:rPr>
          <w:rFonts w:hint="eastAsia"/>
          <w:b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/>
          <w:b/>
          <w:bCs/>
          <w:sz w:val="32"/>
          <w:szCs w:val="32"/>
          <w:highlight w:val="none"/>
          <w:lang w:eastAsia="zh-CN"/>
        </w:rPr>
        <w:t>：</w:t>
      </w:r>
      <w:r>
        <w:rPr>
          <w:rFonts w:hint="eastAsia"/>
          <w:b/>
          <w:bCs/>
          <w:sz w:val="36"/>
          <w:szCs w:val="36"/>
          <w:highlight w:val="none"/>
          <w:lang w:val="en-US" w:eastAsia="zh-CN"/>
        </w:rPr>
        <w:t xml:space="preserve">   </w:t>
      </w:r>
      <w:r>
        <w:rPr>
          <w:rFonts w:hint="eastAsia"/>
          <w:b/>
          <w:bCs/>
          <w:sz w:val="32"/>
          <w:szCs w:val="32"/>
          <w:highlight w:val="none"/>
        </w:rPr>
        <w:t>三明学院疫情后学业修复工作</w:t>
      </w:r>
      <w:r>
        <w:rPr>
          <w:rFonts w:hint="eastAsia"/>
          <w:b/>
          <w:bCs/>
          <w:sz w:val="32"/>
          <w:szCs w:val="32"/>
          <w:highlight w:val="none"/>
          <w:lang w:eastAsia="zh-CN"/>
        </w:rPr>
        <w:t>指导意见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eastAsia="宋体"/>
          <w:b w:val="0"/>
          <w:bCs w:val="0"/>
          <w:sz w:val="32"/>
          <w:szCs w:val="32"/>
          <w:highlight w:val="none"/>
          <w:lang w:eastAsia="zh-CN"/>
        </w:rPr>
      </w:pPr>
    </w:p>
    <w:p>
      <w:pPr>
        <w:widowControl w:val="0"/>
        <w:wordWrap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三年疫情对学生学业造成了一定影响，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为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助力学生专业核心能力达成，学校决定开展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疫情后学生学业修复工作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根据《三明学院2023年“突出突破突显，争优争先征效”工作方案》和《三明学院2023年党政工作要点》工作安排，特制定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本意见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一、指导思想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firstLine="600" w:firstLineChars="200"/>
        <w:textAlignment w:val="auto"/>
        <w:rPr>
          <w:rFonts w:hint="default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落实立德树人根本任务，减轻疫情对学业的影响，坚持学生自愿、免费修习、课酬补贴、总量控制等原则，聚焦学生毕业要求和专业核心能力达成，在学生毕业前对学生专业核心能力进行修复提升，确保人才培养质量。</w:t>
      </w:r>
      <w:r>
        <w:rPr>
          <w:rFonts w:hint="eastAsia" w:eastAsia="仿宋"/>
          <w:highlight w:val="none"/>
          <w:lang w:val="en-US" w:eastAsia="zh-CN"/>
        </w:rPr>
        <w:t xml:space="preserve">     </w:t>
      </w:r>
    </w:p>
    <w:p>
      <w:pPr>
        <w:widowControl w:val="0"/>
        <w:wordWrap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修复对象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全体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在校生</w:t>
      </w:r>
    </w:p>
    <w:p>
      <w:pPr>
        <w:spacing w:line="520" w:lineRule="exact"/>
        <w:ind w:firstLine="602" w:firstLineChars="200"/>
        <w:rPr>
          <w:rFonts w:ascii="仿宋" w:hAnsi="仿宋" w:eastAsia="仿宋" w:cs="仿宋"/>
          <w:b/>
          <w:bCs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、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工作内容</w:t>
      </w:r>
    </w:p>
    <w:p>
      <w:pPr>
        <w:spacing w:line="520" w:lineRule="exact"/>
        <w:ind w:firstLine="602" w:firstLineChars="200"/>
        <w:rPr>
          <w:rFonts w:ascii="仿宋" w:hAnsi="仿宋" w:eastAsia="仿宋" w:cs="仿宋"/>
          <w:b/>
          <w:bCs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（一）做好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学情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调查</w:t>
      </w: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各学院通过问卷调查、开班会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、座谈会等多种形式做好学情调查，广泛征集并统计分析师生对学业修复的意愿，明确修复重点。</w:t>
      </w:r>
    </w:p>
    <w:p>
      <w:pPr>
        <w:spacing w:line="520" w:lineRule="exact"/>
        <w:ind w:firstLine="602" w:firstLineChars="200"/>
        <w:rPr>
          <w:rFonts w:ascii="仿宋" w:hAnsi="仿宋" w:eastAsia="仿宋" w:cs="仿宋"/>
          <w:b/>
          <w:bCs/>
          <w:sz w:val="30"/>
          <w:szCs w:val="30"/>
          <w:highlight w:val="none"/>
          <w:lang w:val="en-US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（二）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制定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实施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方案</w:t>
      </w:r>
    </w:p>
    <w:p>
      <w:pPr>
        <w:widowControl w:val="0"/>
        <w:wordWrap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（1）确定修复内容。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修复内容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应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包括但不限于理论课程重点章节、难点环节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和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实验、实践、技能课程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内容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等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，充分调动学生的主动性，积极参与课程修复，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补齐专业核心能力短板。</w:t>
      </w:r>
    </w:p>
    <w:p>
      <w:pPr>
        <w:spacing w:line="520" w:lineRule="exact"/>
        <w:ind w:firstLine="602" w:firstLineChars="200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丰富修复渠道。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开课学院可通过开设选修课、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线上线下混合式课程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或多门课程组合为一门专题课等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形式，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鼓励各专业结合学生实际分类设计综合性实践项目，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多渠道满足学生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学业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修复需求。</w:t>
      </w:r>
    </w:p>
    <w:p>
      <w:pPr>
        <w:spacing w:line="520" w:lineRule="exact"/>
        <w:ind w:firstLine="602" w:firstLineChars="200"/>
        <w:rPr>
          <w:rFonts w:hint="default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（3）控制修复总量。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专业类课程学业修复总学时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每个班级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不超过64学时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公共基础课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可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根据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学生需求适量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开设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，总学时不超过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8学时。</w:t>
      </w:r>
    </w:p>
    <w:p>
      <w:pPr>
        <w:spacing w:line="52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（三）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落实工作量</w:t>
      </w: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参照《三明学院绩效工资实施办法》（明院办发[2022]44号）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教学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工作量计算方式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核算学业修复课程授课或辅导教师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的课酬补贴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。</w:t>
      </w:r>
    </w:p>
    <w:p>
      <w:pPr>
        <w:spacing w:line="520" w:lineRule="exact"/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四、工作要求</w:t>
      </w:r>
    </w:p>
    <w:p>
      <w:pPr>
        <w:widowControl w:val="0"/>
        <w:wordWrap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（一）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高度重视。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各学院将学生修复作为落实以学生发展为中心理念的一个重要抓手，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根据学生所在年级和学科专业特点，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分类分年级设计，细化实施方案。</w:t>
      </w:r>
    </w:p>
    <w:p>
      <w:pPr>
        <w:widowControl w:val="0"/>
        <w:wordWrap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（二）精心组织。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做好师生动员，充分调动专业带头人和系主任的积极性，遴选优秀教师承担相应课程，落实方案要求，确保学业修复取得真实效。</w:t>
      </w:r>
    </w:p>
    <w:p>
      <w:pPr>
        <w:widowControl w:val="0"/>
        <w:wordWrap/>
        <w:adjustRightInd/>
        <w:snapToGrid/>
        <w:spacing w:line="520" w:lineRule="exact"/>
        <w:ind w:firstLine="602" w:firstLineChars="200"/>
        <w:textAlignment w:val="auto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（三）总结宣传。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及时总结学业修复的经验和做法，在不同层面不同媒体做好宣传推广。</w:t>
      </w: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p>
      <w:pPr>
        <w:spacing w:line="520" w:lineRule="exact"/>
        <w:jc w:val="left"/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________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eastAsia="zh-CN"/>
        </w:rPr>
        <w:t>学院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拟开设的学业修复课程情况表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491"/>
        <w:gridCol w:w="1632"/>
        <w:gridCol w:w="1217"/>
        <w:gridCol w:w="1217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拟开设课程</w:t>
            </w:r>
          </w:p>
        </w:tc>
        <w:tc>
          <w:tcPr>
            <w:tcW w:w="1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拟修复的专业核心能力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学时数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开设学期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开设方式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491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491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491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491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491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491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491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491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32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spacing w:line="520" w:lineRule="exact"/>
        <w:ind w:firstLine="600" w:firstLineChars="200"/>
        <w:rPr>
          <w:rFonts w:ascii="仿宋" w:hAnsi="仿宋" w:eastAsia="仿宋" w:cs="仿宋"/>
          <w:sz w:val="30"/>
          <w:szCs w:val="30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C/457DAQAAjw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ZM9fcCKuh7DA0wZUpi0Di3Y9CYVbMiWnq+WqiEyScXlerVel+S2pLM5IZzi6fMAGO+UtywFNQe6&#10;s2ylOH3EOLbOLWma87faGKqLyri/CoSZKkViPHJMURz2w0R875szqe3pumvuaLs5M/eO3EybMQcw&#10;B/s5OAbQhy6vTpqH4cMxEonMLU0YYafBdE9Z3bRTaRGe57nr6T/a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gL/jnsMBAACP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NDZlMjlhZGQzNGRjZTE4MjZlMDA2ZGZlMDA5ZTkifQ=="/>
  </w:docVars>
  <w:rsids>
    <w:rsidRoot w:val="00000000"/>
    <w:rsid w:val="024A4A57"/>
    <w:rsid w:val="09F13C89"/>
    <w:rsid w:val="0CCA23CA"/>
    <w:rsid w:val="0EF36C0C"/>
    <w:rsid w:val="14BA3910"/>
    <w:rsid w:val="15AF1BFE"/>
    <w:rsid w:val="177D4F8E"/>
    <w:rsid w:val="18F32F46"/>
    <w:rsid w:val="1F247F29"/>
    <w:rsid w:val="1F2C1AB1"/>
    <w:rsid w:val="20601CC4"/>
    <w:rsid w:val="2B3C630D"/>
    <w:rsid w:val="35C926F4"/>
    <w:rsid w:val="366C13D9"/>
    <w:rsid w:val="39690E81"/>
    <w:rsid w:val="39C944DB"/>
    <w:rsid w:val="3E0B2BE4"/>
    <w:rsid w:val="40C55B7D"/>
    <w:rsid w:val="41771C9A"/>
    <w:rsid w:val="478D654B"/>
    <w:rsid w:val="4A534470"/>
    <w:rsid w:val="4B2A51BA"/>
    <w:rsid w:val="4D3516AC"/>
    <w:rsid w:val="517B64FE"/>
    <w:rsid w:val="53A90FF7"/>
    <w:rsid w:val="571B457D"/>
    <w:rsid w:val="5B6C2B8D"/>
    <w:rsid w:val="5BA77CC3"/>
    <w:rsid w:val="5C50308F"/>
    <w:rsid w:val="60164108"/>
    <w:rsid w:val="60B1016D"/>
    <w:rsid w:val="67A15972"/>
    <w:rsid w:val="707E4CD0"/>
    <w:rsid w:val="711E4ECB"/>
    <w:rsid w:val="73E519E6"/>
    <w:rsid w:val="776C0914"/>
    <w:rsid w:val="78C928C1"/>
    <w:rsid w:val="7AA65D4D"/>
    <w:rsid w:val="7AB24F81"/>
    <w:rsid w:val="7ACD652D"/>
    <w:rsid w:val="7B104E60"/>
    <w:rsid w:val="7B821EBA"/>
    <w:rsid w:val="7FB854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