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3" w:firstLineChars="200"/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spacing w:line="600" w:lineRule="exact"/>
        <w:ind w:firstLine="643" w:firstLineChars="200"/>
        <w:jc w:val="center"/>
        <w:rPr>
          <w:rFonts w:hint="eastAsia" w:ascii="仿宋_GB2312" w:hAnsi="宋体" w:eastAsia="仿宋_GB2312"/>
          <w:b/>
          <w:color w:val="FF0000"/>
          <w:sz w:val="32"/>
          <w:szCs w:val="32"/>
        </w:rPr>
      </w:pPr>
    </w:p>
    <w:p>
      <w:pPr>
        <w:spacing w:line="600" w:lineRule="exact"/>
        <w:ind w:firstLine="643" w:firstLineChars="200"/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jc w:val="center"/>
        <w:rPr>
          <w:rFonts w:hint="eastAsia" w:ascii="Bookman Old Style" w:hAnsi="Bookman Old Style"/>
          <w:b/>
          <w:color w:val="FF0000"/>
          <w:spacing w:val="-22"/>
          <w:w w:val="90"/>
          <w:sz w:val="90"/>
          <w:szCs w:val="90"/>
        </w:rPr>
      </w:pPr>
      <w:r>
        <w:rPr>
          <w:rFonts w:hint="eastAsia" w:ascii="宋体" w:hAnsi="宋体"/>
          <w:b/>
          <w:snapToGrid w:val="0"/>
          <w:color w:val="FF0000"/>
          <w:spacing w:val="-22"/>
          <w:sz w:val="90"/>
          <w:szCs w:val="90"/>
        </w:rPr>
        <w:t>三明学院教务处文件</w:t>
      </w:r>
    </w:p>
    <w:p>
      <w:pPr>
        <w:spacing w:line="600" w:lineRule="exact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明学院教字〔20</w:t>
      </w:r>
      <w:r>
        <w:rPr>
          <w:rFonts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2〕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32</w:t>
      </w:r>
      <w:r>
        <w:rPr>
          <w:rFonts w:hint="eastAsia" w:ascii="仿宋_GB2312" w:hAnsi="宋体" w:eastAsia="仿宋_GB2312"/>
          <w:sz w:val="32"/>
          <w:szCs w:val="32"/>
        </w:rPr>
        <w:t>号</w:t>
      </w:r>
    </w:p>
    <w:p>
      <w:pPr>
        <w:spacing w:line="460" w:lineRule="exact"/>
        <w:ind w:firstLine="643" w:firstLineChars="200"/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-132715</wp:posOffset>
                </wp:positionH>
                <wp:positionV relativeFrom="paragraph">
                  <wp:posOffset>190500</wp:posOffset>
                </wp:positionV>
                <wp:extent cx="5629275" cy="0"/>
                <wp:effectExtent l="0" t="19050" r="9525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927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0.45pt;margin-top:15pt;height:0pt;width:443.25pt;z-index:251661312;mso-width-relative:page;mso-height-relative:page;" filled="f" stroked="t" coordsize="21600,21600" o:gfxdata="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ACHZM2gAAAAkBAAAPAAAAAAAAAAEAIAAAACIAAABkcnMvZG93bnJldi54&#10;bWxQSwECFAAUAAAACACHTuJA4UofFPgBAADlAwAADgAAAAAAAAABACAAAAApAQAAZHJzL2Uyb0Rv&#10;Yy54bWxQSwUGAAAAAAYABgBZAQAAkwUAAAAA&#10;">
                <v:path arrowok="t"/>
                <v:fill on="f" focussize="0,0"/>
                <v:stroke weight="3pt" color="#FF0000"/>
                <v:imagedata o:title=""/>
                <o:lock v:ext="edit"/>
              </v:line>
            </w:pict>
          </mc:Fallback>
        </mc:AlternateContent>
      </w:r>
    </w:p>
    <w:p>
      <w:pPr>
        <w:ind w:firstLine="643" w:firstLineChars="200"/>
        <w:rPr>
          <w:rFonts w:hint="eastAsia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Calibri" w:eastAsia="方正小标宋简体"/>
          <w:bCs/>
          <w:sz w:val="44"/>
          <w:szCs w:val="44"/>
        </w:rPr>
      </w:pPr>
      <w:r>
        <w:rPr>
          <w:rFonts w:hint="eastAsia" w:ascii="方正小标宋简体" w:hAnsi="Calibri" w:eastAsia="方正小标宋简体"/>
          <w:bCs/>
          <w:sz w:val="44"/>
          <w:szCs w:val="44"/>
          <w:lang w:val="en-US" w:eastAsia="zh-CN"/>
        </w:rPr>
        <w:t>三明学院</w:t>
      </w:r>
      <w:r>
        <w:rPr>
          <w:rFonts w:hint="eastAsia" w:ascii="方正小标宋简体" w:hAnsi="Calibri" w:eastAsia="方正小标宋简体"/>
          <w:bCs/>
          <w:sz w:val="44"/>
          <w:szCs w:val="44"/>
        </w:rPr>
        <w:t>关于公布</w:t>
      </w:r>
      <w:r>
        <w:rPr>
          <w:rFonts w:hint="eastAsia" w:ascii="方正小标宋简体" w:hAnsi="Calibri" w:eastAsia="方正小标宋简体"/>
          <w:bCs/>
          <w:sz w:val="44"/>
          <w:szCs w:val="44"/>
          <w:lang w:val="en-US" w:eastAsia="zh-CN"/>
        </w:rPr>
        <w:t>2022年度校级一流本科专业建设点名单</w:t>
      </w:r>
      <w:r>
        <w:rPr>
          <w:rFonts w:hint="eastAsia" w:ascii="方正小标宋简体" w:hAnsi="Calibri" w:eastAsia="方正小标宋简体"/>
          <w:bCs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exact"/>
        <w:ind w:firstLine="48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根据《教育部办公厅关于实施一流本科专业建设“双万计划”的通知》（教高厅函〔2019〕18号），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学校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组织开展了202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年度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校级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一流本科专业建设点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申报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工作。经各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二级学院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申报、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专家评审、校教学工作指导委员会审议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，认定了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校级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一流本科专业建设点。现将名单予以公布（见附件）。请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各学院进一步发挥各建设点在专业综合改革、师资建设、教学条件、质量保障等方面的示范领跑作用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，持续加强专业建设，不断提高人才培养质量，培养一流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应用型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zh-CN" w:eastAsia="zh-CN"/>
        </w:rPr>
        <w:t>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附件：2022年度校级一流本科专业建设点名单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w w:val="90"/>
          <w:kern w:val="0"/>
          <w:sz w:val="32"/>
          <w:szCs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 w:firstLine="640" w:firstLineChars="200"/>
        <w:jc w:val="right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 w:firstLine="640" w:firstLineChars="200"/>
        <w:jc w:val="right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三明学院教务处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2022年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" w:hAnsi="仿宋" w:eastAsia="仿宋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326390</wp:posOffset>
                </wp:positionV>
                <wp:extent cx="572135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135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25pt;margin-top:25.7pt;height:0pt;width:450.5pt;z-index:251660288;mso-width-relative:page;mso-height-relative:page;" filled="f" stroked="t" coordsize="21600,21600" o:gfxdata="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jOZoNgAAAAJAQAADwAAAAAAAAABACAAAAAiAAAAZHJzL2Rvd25yZXYueG1sUEsB&#10;AhQAFAAAAAgAh07iQEedKD/1AQAA5QMAAA4AAAAAAAAAAQAgAAAAJwEAAGRycy9lMm9Eb2MueG1s&#10;UEsFBgAAAAAGAAYAWQEAAI4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4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cols w:space="720" w:num="1"/>
          <w:titlePg/>
          <w:docGrid w:linePitch="312" w:charSpace="0"/>
        </w:sectPr>
      </w:pPr>
      <w:r>
        <w:rPr>
          <w:rFonts w:ascii="仿宋" w:hAnsi="仿宋" w:eastAsia="仿宋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366395</wp:posOffset>
                </wp:positionV>
                <wp:extent cx="572135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135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pt;margin-top:28.85pt;height:0pt;width:450.5pt;z-index:251659264;mso-width-relative:page;mso-height-relative:page;" filled="f" stroked="t" coordsize="21600,21600" o:gfxdata="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M2/K91wAAAAkBAAAPAAAAAAAAAAEAIAAAACIAAABkcnMvZG93bnJldi54bWxQSwEC&#10;FAAUAAAACACHTuJAUACWmvUBAADlAwAADgAAAAAAAAABACAAAAAmAQAAZHJzL2Uyb0RvYy54bWxQ&#10;SwUGAAAAAAYABgBZAQAAj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kern w:val="0"/>
          <w:sz w:val="28"/>
          <w:szCs w:val="28"/>
        </w:rPr>
        <w:t xml:space="preserve">三明学院教务处      </w:t>
      </w:r>
      <w:r>
        <w:rPr>
          <w:rFonts w:ascii="仿宋" w:hAnsi="仿宋" w:eastAsia="仿宋"/>
          <w:kern w:val="0"/>
          <w:sz w:val="28"/>
          <w:szCs w:val="28"/>
        </w:rPr>
        <w:t xml:space="preserve">                   </w:t>
      </w:r>
      <w:r>
        <w:rPr>
          <w:rFonts w:hint="eastAsia" w:ascii="仿宋" w:hAnsi="仿宋" w:eastAsia="仿宋"/>
          <w:kern w:val="0"/>
          <w:sz w:val="28"/>
          <w:szCs w:val="28"/>
        </w:rPr>
        <w:t>202</w:t>
      </w:r>
      <w:r>
        <w:rPr>
          <w:rFonts w:ascii="仿宋" w:hAnsi="仿宋" w:eastAsia="仿宋"/>
          <w:kern w:val="0"/>
          <w:sz w:val="28"/>
          <w:szCs w:val="28"/>
        </w:rPr>
        <w:t>2</w:t>
      </w:r>
      <w:r>
        <w:rPr>
          <w:rFonts w:hint="eastAsia" w:ascii="仿宋" w:hAnsi="仿宋" w:eastAsia="仿宋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kern w:val="0"/>
          <w:sz w:val="28"/>
          <w:szCs w:val="28"/>
        </w:rPr>
        <w:t>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/>
          <w:kern w:val="0"/>
          <w:sz w:val="28"/>
          <w:szCs w:val="28"/>
        </w:rPr>
        <w:t>日印发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2022年度校级一流本科专业建设点名单</w:t>
      </w:r>
    </w:p>
    <w:tbl>
      <w:tblPr>
        <w:tblStyle w:val="4"/>
        <w:tblW w:w="849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950"/>
        <w:gridCol w:w="2486"/>
        <w:gridCol w:w="1501"/>
        <w:gridCol w:w="18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120204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120202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张美艳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130505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信玉峰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080901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林观俊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材料化学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080403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林福星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120105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崔秀琴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文化传播学院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050101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林阳华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（外国语学院）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050262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黄菊芬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体育与康养学院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040201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秦德平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040203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教育与音乐学院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040107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艾述华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