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315" w:leftChars="-150" w:right="302" w:rightChars="144" w:firstLine="626" w:firstLineChars="261"/>
        <w:textAlignment w:val="auto"/>
        <w:rPr>
          <w:rFonts w:ascii="宋体" w:hAnsi="宋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000" w:hanging="4500" w:hangingChars="2500"/>
        <w:textAlignment w:val="auto"/>
        <w:rPr>
          <w:rFonts w:ascii="宋体" w:hAnsi="宋体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000" w:hanging="4500" w:hangingChars="2500"/>
        <w:textAlignment w:val="auto"/>
        <w:rPr>
          <w:rFonts w:ascii="宋体" w:hAnsi="宋体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000" w:hanging="4500" w:hangingChars="2500"/>
        <w:textAlignment w:val="auto"/>
        <w:rPr>
          <w:rFonts w:ascii="宋体" w:hAnsi="宋体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000" w:hanging="4500" w:hangingChars="2500"/>
        <w:textAlignment w:val="auto"/>
        <w:rPr>
          <w:rFonts w:ascii="宋体" w:hAnsi="宋体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000" w:hanging="4500" w:hangingChars="2500"/>
        <w:textAlignment w:val="auto"/>
        <w:rPr>
          <w:rFonts w:ascii="宋体" w:hAnsi="宋体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000" w:hanging="21488" w:hangingChars="2500"/>
        <w:jc w:val="center"/>
        <w:textAlignment w:val="auto"/>
        <w:rPr>
          <w:rFonts w:ascii="宋体" w:hAnsi="宋体"/>
          <w:sz w:val="11"/>
          <w:szCs w:val="11"/>
        </w:rPr>
      </w:pPr>
      <w:r>
        <w:rPr>
          <w:rFonts w:hint="eastAsia" w:ascii="宋体" w:hAnsi="宋体"/>
          <w:b/>
          <w:snapToGrid w:val="0"/>
          <w:color w:val="FF0000"/>
          <w:spacing w:val="-22"/>
          <w:kern w:val="0"/>
          <w:sz w:val="90"/>
          <w:szCs w:val="90"/>
        </w:rPr>
        <w:t>三明学院教务处文件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4" w:beforeLines="110" w:line="440" w:lineRule="exact"/>
        <w:jc w:val="center"/>
        <w:textAlignment w:val="auto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明学院教字</w:t>
      </w:r>
      <w:r>
        <w:rPr>
          <w:rFonts w:hint="eastAsia" w:ascii="仿宋" w:hAnsi="仿宋" w:eastAsia="仿宋" w:cs="宋体"/>
          <w:kern w:val="0"/>
          <w:sz w:val="32"/>
          <w:szCs w:val="32"/>
        </w:rPr>
        <w:t>〔20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宋体"/>
          <w:kern w:val="0"/>
          <w:sz w:val="32"/>
          <w:szCs w:val="32"/>
        </w:rPr>
        <w:t>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36</w:t>
      </w:r>
      <w:r>
        <w:rPr>
          <w:rFonts w:hint="eastAsia" w:ascii="仿宋" w:hAnsi="仿宋" w:eastAsia="仿宋" w:cs="宋体"/>
          <w:kern w:val="0"/>
          <w:sz w:val="32"/>
          <w:szCs w:val="32"/>
        </w:rPr>
        <w:t>号</w:t>
      </w:r>
    </w:p>
    <w:p>
      <w:pPr>
        <w:pStyle w:val="3"/>
        <w:spacing w:line="540" w:lineRule="exact"/>
        <w:jc w:val="center"/>
        <w:rPr>
          <w:rFonts w:ascii="宋体" w:hAnsi="宋体" w:eastAsia="宋体"/>
          <w:sz w:val="11"/>
          <w:szCs w:val="11"/>
        </w:rPr>
      </w:pPr>
      <w:r>
        <w:rPr>
          <w:rFonts w:hint="eastAsia" w:ascii="仿宋_GB2312" w:hAnsi="宋体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79375</wp:posOffset>
                </wp:positionV>
                <wp:extent cx="5629275" cy="0"/>
                <wp:effectExtent l="0" t="19050" r="952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29275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55pt;margin-top:6.25pt;height:0pt;width:443.25pt;z-index:251659264;mso-width-relative:page;mso-height-relative:page;" filled="f" stroked="t" coordsize="21600,21600" o:gfxdata="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FrDir2QAAAAgBAAAPAAAAAAAAAAEAIAAAACIAAABkcnMvZG93bnJldi54&#10;bWxQSwECFAAUAAAACACHTuJAa8336vkBAADlAwAADgAAAAAAAAABACAAAAAoAQAAZHJzL2Uyb0Rv&#10;Yy54bWxQSwUGAAAAAAYABgBZAQAAkwUAAAAA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eastAsia="方正小标宋简体" w:cs="方正小标宋简体"/>
          <w:spacing w:val="0"/>
          <w:sz w:val="44"/>
          <w:szCs w:val="44"/>
          <w:lang w:eastAsia="zh-CN"/>
        </w:rPr>
      </w:pPr>
      <w:r>
        <w:rPr>
          <w:rFonts w:hint="eastAsia" w:ascii="宋体" w:hAnsi="宋体" w:eastAsia="方正小标宋简体" w:cs="方正小标宋简体"/>
          <w:spacing w:val="0"/>
          <w:sz w:val="44"/>
          <w:szCs w:val="44"/>
          <w:lang w:eastAsia="zh-CN"/>
        </w:rPr>
        <w:t>关于公布</w:t>
      </w:r>
      <w:r>
        <w:rPr>
          <w:rFonts w:hint="eastAsia" w:ascii="宋体" w:hAnsi="宋体" w:eastAsia="方正小标宋简体" w:cs="方正小标宋简体"/>
          <w:spacing w:val="0"/>
          <w:sz w:val="44"/>
          <w:szCs w:val="44"/>
          <w:lang w:val="en-US" w:eastAsia="zh-CN"/>
        </w:rPr>
        <w:t>党的二十大精神进课堂优秀案例</w:t>
      </w:r>
      <w:r>
        <w:rPr>
          <w:rFonts w:hint="eastAsia" w:ascii="宋体" w:hAnsi="宋体" w:eastAsia="方正小标宋简体" w:cs="方正小标宋简体"/>
          <w:spacing w:val="0"/>
          <w:sz w:val="44"/>
          <w:szCs w:val="44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eastAsia="方正小标宋简体" w:cs="方正小标宋简体"/>
          <w:spacing w:val="-6"/>
          <w:sz w:val="44"/>
          <w:szCs w:val="44"/>
        </w:rPr>
      </w:pPr>
      <w:r>
        <w:rPr>
          <w:rFonts w:hint="eastAsia" w:ascii="宋体" w:hAnsi="宋体" w:eastAsia="方正小标宋简体" w:cs="方正小标宋简体"/>
          <w:spacing w:val="0"/>
          <w:sz w:val="44"/>
          <w:szCs w:val="44"/>
          <w:lang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经本人申请，二级学院审核，教务处组织专家评审，公示无异议后评选出党的二十大精神进课堂优秀案例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。具体名单见附件。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839" w:leftChars="266" w:hanging="1280" w:hanging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党的二十大精神进课堂优秀案例名单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bidi="ar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三明学院教务处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    </w:t>
      </w:r>
    </w:p>
    <w:p>
      <w:pPr>
        <w:rPr>
          <w:rFonts w:ascii="宋体" w:hAnsi="宋体" w:eastAsia="黑体"/>
          <w:b/>
          <w:bCs/>
          <w:sz w:val="32"/>
          <w:szCs w:val="32"/>
          <w:u w:val="single"/>
        </w:rPr>
      </w:pPr>
      <w:r>
        <w:rPr>
          <w:rFonts w:ascii="宋体" w:hAnsi="宋体" w:eastAsia="黑体"/>
          <w:b/>
          <w:bCs/>
          <w:sz w:val="32"/>
          <w:szCs w:val="32"/>
          <w:u w:val="single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footerReference r:id="rId3" w:type="default"/>
          <w:type w:val="continuous"/>
          <w:pgSz w:w="11906" w:h="16838"/>
          <w:pgMar w:top="2098" w:right="1474" w:bottom="1984" w:left="1587" w:header="851" w:footer="85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党的二十大精神进课堂优秀案例名单</w:t>
      </w:r>
    </w:p>
    <w:tbl>
      <w:tblPr>
        <w:tblStyle w:val="7"/>
        <w:tblW w:w="103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4562"/>
        <w:gridCol w:w="2247"/>
        <w:gridCol w:w="1069"/>
        <w:gridCol w:w="18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案例名称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课程名称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案例作者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《九章算术》之方程创新与文化自信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MATLAB及其应用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方桂娟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机电工程学院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探物究理悟道，坚定四个自信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大学物理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洪海莲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机电工程学院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中国心和中国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——二十大精神进机器人技术课堂教学案例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机器人技术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邱丽梅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机电工程学院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刺绣工艺与设计——开在服装上的传承之花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服饰手工艺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饶沁雨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艺术与设计学院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笔墨丹青文化自信，培根铸魂使命担当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——二十大精神融入《工笔花鸟创作》教学案例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工笔花鸟创作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雷文飞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艺术与设计学院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守正创新，勇于担当——《案例与专题设计》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“两线三段三层”思政育人模式构建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案例与专题设计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文艳群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艺术与设计学院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党的二十大精神融入音乐（师范）专业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教育学课程教学案例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陈仰平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教育与音乐学院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培根铸魂 立德树人 弘扬工匠精神 助推科教兴国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数据结构与算法分析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惠苗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赓续红色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振兴乡村——党的二十大精神融入《计算机辅助设计2》教学案例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计算机辅助设计2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林银大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以民为本 胸怀天下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——伟大的现实主义诗人杜甫及其诗歌精神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中国古代文学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郑顺婷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文化传播学院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11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体法融合，育人更育心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体育法学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王喜燕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体育与康养学院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12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从“史”的视角讲好党的二十大精神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--党的二十大精神融入《中国近现代史纲要》教学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中国近现代史纲要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胡凌鑫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13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弘扬法治精神 提升法治素养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思想道德与法治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罗斯怡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14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科技托起强军梦，青年筑牢强国志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军事理论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程义红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15</w:t>
            </w:r>
          </w:p>
        </w:tc>
        <w:tc>
          <w:tcPr>
            <w:tcW w:w="45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中国式现代化是全新的人类文明形态</w:t>
            </w:r>
          </w:p>
        </w:tc>
        <w:tc>
          <w:tcPr>
            <w:tcW w:w="224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习近平新时代中国特色社会主义思想概论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吴智灵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</w:tr>
    </w:tbl>
    <w:p>
      <w:pPr>
        <w:spacing w:line="500" w:lineRule="exact"/>
        <w:rPr>
          <w:rFonts w:ascii="宋体" w:hAnsi="宋体" w:eastAsia="黑体"/>
          <w:b/>
          <w:bCs/>
          <w:sz w:val="32"/>
          <w:szCs w:val="32"/>
          <w:u w:val="single"/>
        </w:rPr>
      </w:pPr>
    </w:p>
    <w:tbl>
      <w:tblPr>
        <w:tblStyle w:val="7"/>
        <w:tblpPr w:leftFromText="180" w:rightFromText="180" w:vertAnchor="text" w:horzAnchor="page" w:tblpX="1600" w:tblpY="1292"/>
        <w:tblOverlap w:val="never"/>
        <w:tblW w:w="906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eastAsia="仿宋_GB2312"/>
                <w:sz w:val="32"/>
                <w:szCs w:val="32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br w:type="page"/>
            </w:r>
            <w:r>
              <w:rPr>
                <w:rFonts w:hint="eastAsia" w:eastAsia="仿宋_GB2312"/>
                <w:bCs/>
                <w:sz w:val="32"/>
                <w:szCs w:val="32"/>
              </w:rPr>
              <w:t>三明学院教务处</w:t>
            </w:r>
            <w:r>
              <w:rPr>
                <w:rFonts w:hint="eastAsia" w:eastAsia="仿宋_GB2312"/>
                <w:sz w:val="32"/>
                <w:szCs w:val="32"/>
              </w:rPr>
              <w:t xml:space="preserve">                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sz w:val="32"/>
                <w:szCs w:val="32"/>
              </w:rPr>
              <w:t xml:space="preserve">  20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23</w:t>
            </w:r>
            <w:r>
              <w:rPr>
                <w:rFonts w:hint="eastAsia" w:eastAsia="仿宋_GB2312"/>
                <w:sz w:val="32"/>
                <w:szCs w:val="32"/>
              </w:rPr>
              <w:t>年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eastAsia="仿宋_GB2312"/>
                <w:sz w:val="32"/>
                <w:szCs w:val="32"/>
              </w:rPr>
              <w:t>月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eastAsia="仿宋_GB2312"/>
                <w:sz w:val="32"/>
                <w:szCs w:val="32"/>
              </w:rPr>
              <w:t>日印发</w:t>
            </w:r>
          </w:p>
        </w:tc>
      </w:tr>
    </w:tbl>
    <w:p>
      <w:pPr>
        <w:pStyle w:val="2"/>
        <w:ind w:left="0" w:leftChars="0" w:firstLine="0" w:firstLineChars="0"/>
        <w:rPr>
          <w:rFonts w:ascii="宋体" w:hAnsi="宋体" w:eastAsia="黑体"/>
          <w:b/>
          <w:bCs/>
          <w:sz w:val="32"/>
          <w:szCs w:val="32"/>
          <w:u w:val="single"/>
        </w:rPr>
      </w:pPr>
    </w:p>
    <w:sectPr>
      <w:type w:val="continuous"/>
      <w:pgSz w:w="11906" w:h="16838"/>
      <w:pgMar w:top="2098" w:right="1474" w:bottom="1984" w:left="1587" w:header="851" w:footer="85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